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SP-250148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28.104 Enhance stage 3 OpenAPI for isUnique property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Fix corrupted descriptive text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19 CR TS 28.104 Correct recommendationFilter attr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28.105 Correction of PlanUML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TS28.105 correction to data type definitions related to AIMLInferenceName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7.4a.1, 7.5.1, 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TS28.532 OpenAPI correction related to format of URI query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28.536 Enhance stage 3 OpenAPI for isUnique property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28.536 Correct association between various classes and their datatypes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4.1.2.2.1, Figure 4.1.2.2.1.1, Annex 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Editorial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Annex Q.5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Correct association between networkslice classes and their profiles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6.2.1, Q.3.1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TS28.550 OpenAPI correction related to format of URI query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28.552 Introduce missing definition of term “Key Performance Indicator (KPI)”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32.401 CR0043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TS28.558 update descriptions of some measurements and cleanup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2,3, 6.3.1.2, 6.3.1.5.1, 6.3.1.5.2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28.620 Align IOC definitions with TS 32.160 template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4.3.1.2, 4.3.2.2, 4.3.3.2, 4.3.4.2, 4.3.5.2, 4.3.6.2, 4.3.6.3, 4.3.7.2, 4.3.7.3, 4.3.8.2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28.620 Update TMF and ITU-T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TS28.622 correction to definitions related to availableRANqoEMetrics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CR0508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28.622 Introduce missing definition of terms “Key Performance Indicator (KPI)” and “performance metric”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2, 3.1, 3.2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32.401 CR0043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TS28.623 correction to definitions related to availableRANqoEMetrics for YANG and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(Normative stage 3 is in Forge)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CR0532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32.160 Add missing vendor extension guideline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6.2.1.6, 6.2.1.8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32.160 Clarify use of dataType in UML diagrams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Deutsche Telekom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